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宋体"/>
          <w:b/>
          <w:kern w:val="0"/>
          <w:sz w:val="44"/>
          <w:szCs w:val="44"/>
        </w:rPr>
      </w:pPr>
      <w:r>
        <w:rPr>
          <w:rFonts w:hint="eastAsia" w:ascii="黑体" w:hAnsi="黑体" w:eastAsia="黑体" w:cs="宋体"/>
          <w:b/>
          <w:kern w:val="0"/>
          <w:sz w:val="44"/>
          <w:szCs w:val="44"/>
        </w:rPr>
        <w:t>河南大学2019年实验教师（硕士）</w:t>
      </w:r>
    </w:p>
    <w:p>
      <w:pPr>
        <w:spacing w:line="600" w:lineRule="exact"/>
        <w:jc w:val="center"/>
        <w:rPr>
          <w:rFonts w:ascii="黑体" w:hAnsi="黑体" w:eastAsia="黑体" w:cs="宋体"/>
          <w:b/>
          <w:kern w:val="0"/>
          <w:sz w:val="44"/>
          <w:szCs w:val="44"/>
        </w:rPr>
      </w:pPr>
      <w:bookmarkStart w:id="0" w:name="_GoBack"/>
      <w:bookmarkEnd w:id="0"/>
      <w:r>
        <w:rPr>
          <w:rFonts w:hint="eastAsia" w:ascii="黑体" w:hAnsi="黑体" w:eastAsia="黑体" w:cs="宋体"/>
          <w:b/>
          <w:kern w:val="0"/>
          <w:sz w:val="44"/>
          <w:szCs w:val="44"/>
        </w:rPr>
        <w:t>招聘公告</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河南大学是国家“双一流”建设高校。根据河南大学实验队伍建设发展的实际情况，现面向社会公开招聘硕士研究生11名。有关事宜公告如下：</w:t>
      </w:r>
    </w:p>
    <w:p>
      <w:pPr>
        <w:widowControl/>
        <w:numPr>
          <w:ilvl w:val="0"/>
          <w:numId w:val="1"/>
        </w:numPr>
        <w:adjustRightInd w:val="0"/>
        <w:snapToGrid w:val="0"/>
        <w:spacing w:before="30" w:after="30" w:line="600" w:lineRule="exact"/>
        <w:ind w:left="551"/>
        <w:jc w:val="left"/>
        <w:rPr>
          <w:rFonts w:ascii="仿宋_GB2312" w:hAnsi="宋体" w:eastAsia="仿宋_GB2312"/>
          <w:sz w:val="32"/>
          <w:szCs w:val="32"/>
        </w:rPr>
      </w:pPr>
      <w:r>
        <w:rPr>
          <w:rFonts w:hint="eastAsia" w:ascii="仿宋_GB2312" w:hAnsi="宋体" w:eastAsia="仿宋_GB2312" w:cs="Arial"/>
          <w:b/>
          <w:sz w:val="32"/>
          <w:szCs w:val="32"/>
          <w:shd w:val="clear" w:color="auto" w:fill="FFFFFF"/>
        </w:rPr>
        <w:t>招聘岗位</w:t>
      </w:r>
    </w:p>
    <w:tbl>
      <w:tblPr>
        <w:tblStyle w:val="6"/>
        <w:tblW w:w="9202"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4170"/>
        <w:gridCol w:w="3587"/>
        <w:gridCol w:w="144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70" w:hRule="atLeast"/>
          <w:jc w:val="center"/>
        </w:trPr>
        <w:tc>
          <w:tcPr>
            <w:tcW w:w="4170" w:type="dxa"/>
            <w:vAlign w:val="center"/>
          </w:tcPr>
          <w:p>
            <w:pPr>
              <w:spacing w:line="4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具体岗位</w:t>
            </w:r>
          </w:p>
        </w:tc>
        <w:tc>
          <w:tcPr>
            <w:tcW w:w="3587" w:type="dxa"/>
            <w:vAlign w:val="center"/>
          </w:tcPr>
          <w:p>
            <w:pPr>
              <w:spacing w:line="4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所属单位</w:t>
            </w:r>
          </w:p>
        </w:tc>
        <w:tc>
          <w:tcPr>
            <w:tcW w:w="1445" w:type="dxa"/>
            <w:tcBorders>
              <w:right w:val="single" w:color="auto" w:sz="4" w:space="0"/>
            </w:tcBorders>
            <w:vAlign w:val="center"/>
          </w:tcPr>
          <w:p>
            <w:pPr>
              <w:spacing w:line="400" w:lineRule="exact"/>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招聘人数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5" w:hRule="atLeast"/>
          <w:jc w:val="center"/>
        </w:trPr>
        <w:tc>
          <w:tcPr>
            <w:tcW w:w="4170"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心理与行为重点实验室</w:t>
            </w:r>
          </w:p>
        </w:tc>
        <w:tc>
          <w:tcPr>
            <w:tcW w:w="3587"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教育科学学院</w:t>
            </w:r>
          </w:p>
        </w:tc>
        <w:tc>
          <w:tcPr>
            <w:tcW w:w="1445" w:type="dxa"/>
            <w:tcBorders>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5" w:hRule="atLeast"/>
          <w:jc w:val="center"/>
        </w:trPr>
        <w:tc>
          <w:tcPr>
            <w:tcW w:w="4170"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分析测试中心质谱平台岗</w:t>
            </w:r>
          </w:p>
        </w:tc>
        <w:tc>
          <w:tcPr>
            <w:tcW w:w="3587"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生命科学学院</w:t>
            </w:r>
          </w:p>
        </w:tc>
        <w:tc>
          <w:tcPr>
            <w:tcW w:w="1445" w:type="dxa"/>
            <w:tcBorders>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65" w:hRule="atLeast"/>
          <w:jc w:val="center"/>
        </w:trPr>
        <w:tc>
          <w:tcPr>
            <w:tcW w:w="4170"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数学与统计学院实验室</w:t>
            </w:r>
          </w:p>
        </w:tc>
        <w:tc>
          <w:tcPr>
            <w:tcW w:w="3587"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数学与统计学院</w:t>
            </w:r>
          </w:p>
        </w:tc>
        <w:tc>
          <w:tcPr>
            <w:tcW w:w="1445" w:type="dxa"/>
            <w:tcBorders>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55" w:hRule="atLeast"/>
          <w:jc w:val="center"/>
        </w:trPr>
        <w:tc>
          <w:tcPr>
            <w:tcW w:w="4170"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基础实验教学中心</w:t>
            </w:r>
          </w:p>
        </w:tc>
        <w:tc>
          <w:tcPr>
            <w:tcW w:w="3587"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化学化工学院</w:t>
            </w:r>
          </w:p>
        </w:tc>
        <w:tc>
          <w:tcPr>
            <w:tcW w:w="1445" w:type="dxa"/>
            <w:tcBorders>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55" w:hRule="atLeast"/>
          <w:jc w:val="center"/>
        </w:trPr>
        <w:tc>
          <w:tcPr>
            <w:tcW w:w="4170"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软件工程实验中心实验室</w:t>
            </w:r>
          </w:p>
        </w:tc>
        <w:tc>
          <w:tcPr>
            <w:tcW w:w="3587"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软件学院</w:t>
            </w:r>
          </w:p>
        </w:tc>
        <w:tc>
          <w:tcPr>
            <w:tcW w:w="1445" w:type="dxa"/>
            <w:tcBorders>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55" w:hRule="atLeast"/>
          <w:jc w:val="center"/>
        </w:trPr>
        <w:tc>
          <w:tcPr>
            <w:tcW w:w="4170"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口腔医学实验教学中心</w:t>
            </w:r>
          </w:p>
        </w:tc>
        <w:tc>
          <w:tcPr>
            <w:tcW w:w="3587"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口腔医学院</w:t>
            </w:r>
          </w:p>
        </w:tc>
        <w:tc>
          <w:tcPr>
            <w:tcW w:w="1445" w:type="dxa"/>
            <w:tcBorders>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55" w:hRule="atLeast"/>
          <w:jc w:val="center"/>
        </w:trPr>
        <w:tc>
          <w:tcPr>
            <w:tcW w:w="4170"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经济学院实验室</w:t>
            </w:r>
          </w:p>
        </w:tc>
        <w:tc>
          <w:tcPr>
            <w:tcW w:w="3587"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经济学院</w:t>
            </w:r>
          </w:p>
        </w:tc>
        <w:tc>
          <w:tcPr>
            <w:tcW w:w="1445" w:type="dxa"/>
            <w:tcBorders>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55" w:hRule="atLeast"/>
          <w:jc w:val="center"/>
        </w:trPr>
        <w:tc>
          <w:tcPr>
            <w:tcW w:w="4170"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植物-昆虫-微生物互作平台岗</w:t>
            </w:r>
          </w:p>
        </w:tc>
        <w:tc>
          <w:tcPr>
            <w:tcW w:w="3587"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棉花生物学国家重点实验室</w:t>
            </w:r>
          </w:p>
        </w:tc>
        <w:tc>
          <w:tcPr>
            <w:tcW w:w="1445" w:type="dxa"/>
            <w:tcBorders>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55" w:hRule="atLeast"/>
          <w:jc w:val="center"/>
        </w:trPr>
        <w:tc>
          <w:tcPr>
            <w:tcW w:w="4170"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作物遗传转化平台岗</w:t>
            </w:r>
          </w:p>
        </w:tc>
        <w:tc>
          <w:tcPr>
            <w:tcW w:w="3587"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作物逆境适应与改良国家重点实验室（筹）</w:t>
            </w:r>
          </w:p>
        </w:tc>
        <w:tc>
          <w:tcPr>
            <w:tcW w:w="1445" w:type="dxa"/>
            <w:tcBorders>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55" w:hRule="atLeast"/>
          <w:jc w:val="center"/>
        </w:trPr>
        <w:tc>
          <w:tcPr>
            <w:tcW w:w="4170"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QLED平台</w:t>
            </w:r>
          </w:p>
        </w:tc>
        <w:tc>
          <w:tcPr>
            <w:tcW w:w="3587"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材料学院（特种功能材料重点实验室）</w:t>
            </w:r>
          </w:p>
        </w:tc>
        <w:tc>
          <w:tcPr>
            <w:tcW w:w="1445" w:type="dxa"/>
            <w:tcBorders>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555" w:hRule="atLeast"/>
          <w:jc w:val="center"/>
        </w:trPr>
        <w:tc>
          <w:tcPr>
            <w:tcW w:w="4170"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纳米材料工程研究中心实验室</w:t>
            </w:r>
          </w:p>
        </w:tc>
        <w:tc>
          <w:tcPr>
            <w:tcW w:w="3587" w:type="dxa"/>
            <w:vAlign w:val="center"/>
          </w:tcPr>
          <w:p>
            <w:pPr>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纳米材料工程研究中心</w:t>
            </w:r>
          </w:p>
        </w:tc>
        <w:tc>
          <w:tcPr>
            <w:tcW w:w="1445" w:type="dxa"/>
            <w:tcBorders>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w:t>
            </w:r>
          </w:p>
        </w:tc>
      </w:tr>
    </w:tbl>
    <w:p>
      <w:pPr>
        <w:widowControl/>
        <w:adjustRightInd w:val="0"/>
        <w:snapToGrid w:val="0"/>
        <w:spacing w:before="30" w:after="30" w:line="600" w:lineRule="exact"/>
        <w:jc w:val="left"/>
        <w:rPr>
          <w:rFonts w:ascii="仿宋_GB2312" w:hAnsi="宋体" w:eastAsia="仿宋_GB2312"/>
          <w:sz w:val="32"/>
          <w:szCs w:val="32"/>
        </w:rPr>
      </w:pPr>
      <w:r>
        <w:rPr>
          <w:rFonts w:hint="eastAsia" w:ascii="仿宋_GB2312" w:hAnsi="宋体" w:eastAsia="仿宋_GB2312" w:cs="Arial"/>
          <w:sz w:val="32"/>
          <w:szCs w:val="32"/>
          <w:shd w:val="clear" w:color="auto" w:fill="FFFFFF"/>
        </w:rPr>
        <w:t>每个岗位的</w:t>
      </w:r>
      <w:r>
        <w:rPr>
          <w:rFonts w:hint="eastAsia" w:ascii="仿宋_GB2312" w:hAnsi="宋体" w:eastAsia="仿宋_GB2312"/>
          <w:sz w:val="32"/>
          <w:szCs w:val="32"/>
        </w:rPr>
        <w:t>岗位职责、专业背景及技能要求详见附件1。</w:t>
      </w:r>
    </w:p>
    <w:p>
      <w:pPr>
        <w:pStyle w:val="17"/>
        <w:widowControl/>
        <w:adjustRightInd w:val="0"/>
        <w:snapToGrid w:val="0"/>
        <w:spacing w:before="30" w:after="30" w:line="600" w:lineRule="exact"/>
        <w:ind w:firstLine="630" w:firstLineChars="196"/>
        <w:jc w:val="left"/>
        <w:rPr>
          <w:rFonts w:ascii="仿宋_GB2312" w:hAnsi="宋体" w:eastAsia="仿宋_GB2312" w:cs="Arial"/>
          <w:b/>
          <w:sz w:val="32"/>
          <w:szCs w:val="32"/>
          <w:shd w:val="clear" w:color="auto" w:fill="FFFFFF"/>
        </w:rPr>
      </w:pPr>
      <w:r>
        <w:rPr>
          <w:rFonts w:hint="eastAsia" w:ascii="仿宋_GB2312" w:hAnsi="宋体" w:eastAsia="仿宋_GB2312" w:cs="Arial"/>
          <w:b/>
          <w:sz w:val="32"/>
          <w:szCs w:val="32"/>
          <w:shd w:val="clear" w:color="auto" w:fill="FFFFFF"/>
        </w:rPr>
        <w:t>二、招聘条件</w:t>
      </w:r>
    </w:p>
    <w:p>
      <w:pPr>
        <w:widowControl/>
        <w:spacing w:line="600" w:lineRule="exact"/>
        <w:ind w:firstLine="640" w:firstLineChars="200"/>
        <w:rPr>
          <w:rFonts w:ascii="仿宋_GB2312" w:hAnsi="宋体" w:eastAsia="仿宋_GB2312" w:cs="Arial"/>
          <w:sz w:val="32"/>
          <w:szCs w:val="32"/>
          <w:shd w:val="clear" w:color="auto" w:fill="FFFFFF"/>
        </w:rPr>
      </w:pPr>
      <w:r>
        <w:rPr>
          <w:rFonts w:hint="eastAsia" w:ascii="仿宋_GB2312" w:hAnsi="宋体" w:eastAsia="仿宋_GB2312" w:cs="Arial"/>
          <w:sz w:val="32"/>
          <w:szCs w:val="32"/>
          <w:shd w:val="clear" w:color="auto" w:fill="FFFFFF"/>
        </w:rPr>
        <w:t>1.具有中华人民共和国国籍。</w:t>
      </w:r>
    </w:p>
    <w:p>
      <w:pPr>
        <w:widowControl/>
        <w:spacing w:line="600" w:lineRule="exact"/>
        <w:ind w:firstLine="640" w:firstLineChars="200"/>
        <w:rPr>
          <w:rFonts w:ascii="仿宋_GB2312" w:hAnsi="宋体" w:eastAsia="仿宋_GB2312" w:cs="Arial"/>
          <w:sz w:val="32"/>
          <w:szCs w:val="32"/>
          <w:shd w:val="clear" w:color="auto" w:fill="FFFFFF"/>
        </w:rPr>
      </w:pPr>
      <w:r>
        <w:rPr>
          <w:rFonts w:hint="eastAsia" w:ascii="仿宋_GB2312" w:hAnsi="宋体" w:eastAsia="仿宋_GB2312" w:cs="Arial"/>
          <w:sz w:val="32"/>
          <w:szCs w:val="32"/>
          <w:shd w:val="clear" w:color="auto" w:fill="FFFFFF"/>
        </w:rPr>
        <w:t xml:space="preserve">2.身心健康，具有较高的政治素质和道德水准，遵纪守法，未受过任何处分；符合学校招聘岗位的专业背景及技能要求，愿意承担并能够胜任招聘岗位的岗位职责。 </w:t>
      </w:r>
    </w:p>
    <w:p>
      <w:pPr>
        <w:widowControl/>
        <w:spacing w:line="600" w:lineRule="exact"/>
        <w:ind w:firstLine="640" w:firstLineChars="200"/>
        <w:rPr>
          <w:rFonts w:ascii="仿宋_GB2312" w:hAnsi="宋体" w:eastAsia="仿宋_GB2312" w:cs="Arial"/>
          <w:sz w:val="32"/>
          <w:szCs w:val="32"/>
          <w:shd w:val="clear" w:color="auto" w:fill="FFFFFF"/>
        </w:rPr>
      </w:pPr>
      <w:r>
        <w:rPr>
          <w:rFonts w:hint="eastAsia" w:ascii="仿宋_GB2312" w:hAnsi="宋体" w:eastAsia="仿宋_GB2312" w:cs="Arial"/>
          <w:sz w:val="32"/>
          <w:szCs w:val="32"/>
          <w:shd w:val="clear" w:color="auto" w:fill="FFFFFF"/>
        </w:rPr>
        <w:t>3.全日制非定向硕士研究生，年龄在28周岁以下（1991年1月1日以后出生）。</w:t>
      </w:r>
    </w:p>
    <w:p>
      <w:pPr>
        <w:widowControl/>
        <w:spacing w:line="600" w:lineRule="exact"/>
        <w:ind w:firstLine="640" w:firstLineChars="200"/>
        <w:rPr>
          <w:rFonts w:ascii="仿宋_GB2312" w:hAnsi="宋体" w:eastAsia="仿宋_GB2312" w:cs="Arial"/>
          <w:sz w:val="32"/>
          <w:szCs w:val="32"/>
          <w:shd w:val="clear" w:color="auto" w:fill="FFFFFF"/>
        </w:rPr>
      </w:pPr>
      <w:r>
        <w:rPr>
          <w:rFonts w:hint="eastAsia" w:ascii="仿宋_GB2312" w:hAnsi="宋体" w:eastAsia="仿宋_GB2312" w:cs="Arial"/>
          <w:sz w:val="32"/>
          <w:szCs w:val="32"/>
          <w:shd w:val="clear" w:color="auto" w:fill="FFFFFF"/>
        </w:rPr>
        <w:t>4.第一学历应是全日制普通本科毕业并取得学士学位，本科和硕士学习阶段所学专业应一致或相近，并与应聘岗位要求的专业一致或相近；本科及硕士阶段所学专业分别要求毕业院校该学科具有博士学位授予权。</w:t>
      </w:r>
    </w:p>
    <w:p>
      <w:pPr>
        <w:widowControl/>
        <w:spacing w:line="600" w:lineRule="exact"/>
        <w:ind w:firstLine="640" w:firstLineChars="200"/>
        <w:rPr>
          <w:rFonts w:ascii="仿宋_GB2312" w:hAnsi="宋体" w:eastAsia="仿宋_GB2312" w:cs="Arial"/>
          <w:sz w:val="32"/>
          <w:szCs w:val="32"/>
          <w:shd w:val="clear" w:color="auto" w:fill="FFFFFF"/>
        </w:rPr>
      </w:pPr>
      <w:r>
        <w:rPr>
          <w:rFonts w:hint="eastAsia" w:ascii="仿宋_GB2312" w:hAnsi="宋体" w:eastAsia="仿宋_GB2312" w:cs="Arial"/>
          <w:sz w:val="32"/>
          <w:szCs w:val="32"/>
          <w:shd w:val="clear" w:color="auto" w:fill="FFFFFF"/>
        </w:rPr>
        <w:t>5.热爱实验室工作，愿意连续在此岗位工作8年以上，期间不得考博、访学、转岗。</w:t>
      </w:r>
    </w:p>
    <w:p>
      <w:pPr>
        <w:widowControl/>
        <w:spacing w:line="600" w:lineRule="exact"/>
        <w:ind w:firstLine="640" w:firstLineChars="200"/>
        <w:rPr>
          <w:rFonts w:ascii="仿宋_GB2312" w:hAnsi="宋体" w:eastAsia="仿宋_GB2312" w:cs="Arial"/>
          <w:sz w:val="32"/>
          <w:szCs w:val="32"/>
          <w:shd w:val="clear" w:color="auto" w:fill="FFFFFF"/>
        </w:rPr>
      </w:pPr>
      <w:r>
        <w:rPr>
          <w:rFonts w:hint="eastAsia" w:ascii="仿宋_GB2312" w:hAnsi="宋体" w:eastAsia="仿宋_GB2312" w:cs="Arial"/>
          <w:sz w:val="32"/>
          <w:szCs w:val="32"/>
          <w:shd w:val="clear" w:color="auto" w:fill="FFFFFF"/>
        </w:rPr>
        <w:t>6.国（境）外学历须取得教育部留学服务中心国（境）外学历学位认证书。</w:t>
      </w:r>
    </w:p>
    <w:p>
      <w:pPr>
        <w:widowControl/>
        <w:spacing w:line="600" w:lineRule="exact"/>
        <w:ind w:firstLine="640" w:firstLineChars="200"/>
        <w:rPr>
          <w:rFonts w:ascii="仿宋_GB2312" w:hAnsi="宋体" w:eastAsia="仿宋_GB2312" w:cs="Arial"/>
          <w:sz w:val="32"/>
          <w:szCs w:val="32"/>
          <w:shd w:val="clear" w:color="auto" w:fill="FFFFFF"/>
        </w:rPr>
      </w:pPr>
      <w:r>
        <w:rPr>
          <w:rFonts w:hint="eastAsia" w:ascii="仿宋_GB2312" w:hAnsi="宋体" w:eastAsia="仿宋_GB2312" w:cs="Arial"/>
          <w:sz w:val="32"/>
          <w:szCs w:val="32"/>
          <w:shd w:val="clear" w:color="auto" w:fill="FFFFFF"/>
        </w:rPr>
        <w:t>7.有下列情形之一的不得报名应聘：曾因犯罪受过刑事处罚的人员；尚未解除党纪、政纪处分或正在接受纪律审查的人员；涉嫌违法犯罪正在接受司法调查尚未做出结论的人员；曾在招聘考试中被认定有舞弊等严重违反招聘纪律行为的人员；其他不符合招聘单位有关要求的人员。</w:t>
      </w:r>
    </w:p>
    <w:p>
      <w:pPr>
        <w:widowControl/>
        <w:spacing w:line="600" w:lineRule="exact"/>
        <w:ind w:firstLine="643" w:firstLineChars="200"/>
        <w:rPr>
          <w:rFonts w:ascii="仿宋_GB2312" w:hAnsi="宋体" w:eastAsia="仿宋_GB2312"/>
          <w:sz w:val="32"/>
          <w:szCs w:val="32"/>
        </w:rPr>
      </w:pPr>
      <w:r>
        <w:rPr>
          <w:rFonts w:hint="eastAsia" w:ascii="仿宋_GB2312" w:hAnsi="宋体" w:eastAsia="仿宋_GB2312"/>
          <w:b/>
          <w:sz w:val="32"/>
          <w:szCs w:val="32"/>
        </w:rPr>
        <w:t>三、</w:t>
      </w:r>
      <w:r>
        <w:rPr>
          <w:rFonts w:hint="eastAsia" w:ascii="仿宋_GB2312" w:hAnsi="宋体" w:eastAsia="仿宋_GB2312"/>
          <w:sz w:val="32"/>
          <w:szCs w:val="32"/>
        </w:rPr>
        <w:t>招聘程序</w:t>
      </w:r>
    </w:p>
    <w:p>
      <w:pPr>
        <w:widowControl/>
        <w:spacing w:line="600" w:lineRule="exact"/>
        <w:ind w:firstLine="640" w:firstLineChars="200"/>
        <w:rPr>
          <w:rFonts w:ascii="仿宋_GB2312" w:hAnsi="宋体" w:eastAsia="仿宋_GB2312" w:cs="Arial"/>
          <w:sz w:val="32"/>
          <w:szCs w:val="32"/>
          <w:shd w:val="clear" w:color="auto" w:fill="FFFFFF"/>
        </w:rPr>
      </w:pPr>
      <w:r>
        <w:rPr>
          <w:rFonts w:hint="eastAsia" w:ascii="仿宋_GB2312" w:hAnsi="宋体" w:eastAsia="仿宋_GB2312" w:cs="Arial"/>
          <w:sz w:val="32"/>
          <w:szCs w:val="32"/>
          <w:shd w:val="clear" w:color="auto" w:fill="FFFFFF"/>
        </w:rPr>
        <w:t>1.网络报名</w:t>
      </w:r>
    </w:p>
    <w:p>
      <w:pPr>
        <w:widowControl/>
        <w:spacing w:line="600" w:lineRule="exact"/>
        <w:ind w:firstLine="640" w:firstLineChars="200"/>
        <w:rPr>
          <w:rFonts w:ascii="仿宋_GB2312" w:hAnsi="宋体" w:eastAsia="仿宋_GB2312" w:cs="Arial"/>
          <w:sz w:val="32"/>
          <w:szCs w:val="32"/>
          <w:shd w:val="clear" w:color="auto" w:fill="FFFFFF"/>
        </w:rPr>
      </w:pPr>
      <w:r>
        <w:rPr>
          <w:rFonts w:hint="eastAsia" w:ascii="仿宋_GB2312" w:hAnsi="宋体" w:eastAsia="仿宋_GB2312" w:cs="Arial"/>
          <w:sz w:val="32"/>
          <w:szCs w:val="32"/>
          <w:shd w:val="clear" w:color="auto" w:fill="FFFFFF"/>
        </w:rPr>
        <w:t>自本公告发布之日起，凡符合条件者</w:t>
      </w:r>
      <w:r>
        <w:rPr>
          <w:rFonts w:hint="eastAsia" w:ascii="仿宋_GB2312" w:hAnsi="宋体" w:eastAsia="仿宋_GB2312"/>
          <w:sz w:val="32"/>
          <w:szCs w:val="32"/>
        </w:rPr>
        <w:t>须在报名时间内，按照招聘岗位所属单位联系方式（见附件2）将报名所需材料</w:t>
      </w:r>
      <w:r>
        <w:rPr>
          <w:rFonts w:hint="eastAsia" w:ascii="仿宋_GB2312" w:hAnsi="宋体" w:eastAsia="仿宋_GB2312" w:cs="Arial"/>
          <w:sz w:val="32"/>
          <w:szCs w:val="32"/>
          <w:shd w:val="clear" w:color="auto" w:fill="FFFFFF"/>
        </w:rPr>
        <w:t>电子版</w:t>
      </w:r>
      <w:r>
        <w:rPr>
          <w:rFonts w:hint="eastAsia" w:ascii="仿宋_GB2312" w:hAnsi="宋体" w:eastAsia="仿宋_GB2312"/>
          <w:sz w:val="32"/>
          <w:szCs w:val="32"/>
        </w:rPr>
        <w:t>发送到相应邮箱</w:t>
      </w:r>
      <w:r>
        <w:rPr>
          <w:rFonts w:hint="eastAsia" w:ascii="仿宋_GB2312" w:hAnsi="宋体" w:eastAsia="仿宋_GB2312" w:cs="Arial"/>
          <w:sz w:val="32"/>
          <w:szCs w:val="32"/>
          <w:shd w:val="clear" w:color="auto" w:fill="FFFFFF"/>
        </w:rPr>
        <w:t>。报名截止时间：2019年8月25日18:00。</w:t>
      </w:r>
      <w:r>
        <w:rPr>
          <w:rFonts w:ascii="仿宋_GB2312" w:hAnsi="仿宋_GB2312" w:eastAsia="仿宋_GB2312" w:cs="仿宋_GB2312"/>
          <w:color w:val="000000"/>
          <w:sz w:val="31"/>
          <w:szCs w:val="31"/>
          <w:shd w:val="clear" w:color="auto" w:fill="FFFFFF"/>
        </w:rPr>
        <w:t>每人限报</w:t>
      </w:r>
      <w:r>
        <w:rPr>
          <w:rFonts w:hint="eastAsia" w:ascii="仿宋_GB2312" w:hAnsi="仿宋_GB2312" w:eastAsia="仿宋_GB2312" w:cs="仿宋_GB2312"/>
          <w:color w:val="000000"/>
          <w:sz w:val="31"/>
          <w:szCs w:val="31"/>
          <w:shd w:val="clear" w:color="auto" w:fill="FFFFFF"/>
        </w:rPr>
        <w:t>1个岗位，多报、漏报、误报均视为报名无效。</w:t>
      </w:r>
    </w:p>
    <w:p>
      <w:pPr>
        <w:widowControl/>
        <w:spacing w:line="600" w:lineRule="exact"/>
        <w:ind w:firstLine="640" w:firstLineChars="200"/>
        <w:rPr>
          <w:rFonts w:ascii="仿宋_GB2312" w:hAnsi="宋体" w:eastAsia="仿宋_GB2312" w:cs="Arial"/>
          <w:sz w:val="32"/>
          <w:szCs w:val="32"/>
          <w:shd w:val="clear" w:color="auto" w:fill="FFFFFF"/>
        </w:rPr>
      </w:pPr>
      <w:r>
        <w:rPr>
          <w:rFonts w:hint="eastAsia" w:ascii="仿宋_GB2312" w:hAnsi="宋体" w:eastAsia="仿宋_GB2312" w:cs="Arial"/>
          <w:sz w:val="32"/>
          <w:szCs w:val="32"/>
          <w:shd w:val="clear" w:color="auto" w:fill="FFFFFF"/>
        </w:rPr>
        <w:t>报名材料清单及格式要求详见附件3，报名材料不齐全或格式不符合要求者视为报名无效。</w:t>
      </w:r>
    </w:p>
    <w:p>
      <w:pPr>
        <w:widowControl/>
        <w:spacing w:line="600" w:lineRule="exact"/>
        <w:ind w:firstLine="640" w:firstLineChars="200"/>
        <w:rPr>
          <w:rFonts w:ascii="仿宋_GB2312" w:hAnsi="宋体" w:eastAsia="仿宋_GB2312" w:cs="Arial"/>
          <w:sz w:val="32"/>
          <w:szCs w:val="32"/>
          <w:shd w:val="clear" w:color="auto" w:fill="FFFFFF"/>
        </w:rPr>
      </w:pPr>
      <w:r>
        <w:rPr>
          <w:rFonts w:hint="eastAsia" w:ascii="仿宋_GB2312" w:hAnsi="宋体" w:eastAsia="仿宋_GB2312" w:cs="Arial"/>
          <w:sz w:val="32"/>
          <w:szCs w:val="32"/>
          <w:shd w:val="clear" w:color="auto" w:fill="FFFFFF"/>
        </w:rPr>
        <w:t>应聘者所提交的各项材料内容必须真实，资格审查贯穿招聘全过程；有弄虚作假行为者，一经查实将取消资格。</w:t>
      </w:r>
    </w:p>
    <w:p>
      <w:pPr>
        <w:widowControl/>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2.资格初审和科研能力评价</w:t>
      </w:r>
    </w:p>
    <w:p>
      <w:pPr>
        <w:widowControl/>
        <w:spacing w:line="600" w:lineRule="exact"/>
        <w:ind w:firstLine="640" w:firstLineChars="200"/>
        <w:rPr>
          <w:rFonts w:ascii="仿宋_GB2312" w:hAnsi="宋体" w:eastAsia="仿宋_GB2312"/>
          <w:sz w:val="32"/>
          <w:szCs w:val="32"/>
        </w:rPr>
      </w:pPr>
      <w:r>
        <w:rPr>
          <w:rFonts w:hint="eastAsia" w:ascii="仿宋_GB2312" w:hAnsi="宋体" w:eastAsia="仿宋_GB2312" w:cs="仿宋"/>
          <w:sz w:val="32"/>
          <w:szCs w:val="32"/>
          <w:shd w:val="clear" w:color="auto" w:fill="FFFFFF"/>
        </w:rPr>
        <w:t>各用人单位根据应聘人员申报材料进行资格初审和科研能力评价，</w:t>
      </w:r>
      <w:r>
        <w:rPr>
          <w:rFonts w:hint="eastAsia" w:ascii="仿宋_GB2312" w:hAnsi="宋体" w:eastAsia="仿宋_GB2312"/>
          <w:sz w:val="32"/>
          <w:szCs w:val="32"/>
        </w:rPr>
        <w:t>科研能力评价情况各单位面试时作为参考。</w:t>
      </w:r>
    </w:p>
    <w:p>
      <w:pPr>
        <w:widowControl/>
        <w:spacing w:line="600" w:lineRule="exact"/>
        <w:ind w:left="560"/>
        <w:rPr>
          <w:rFonts w:ascii="仿宋_GB2312" w:hAnsi="宋体" w:eastAsia="仿宋_GB2312"/>
          <w:sz w:val="32"/>
          <w:szCs w:val="32"/>
        </w:rPr>
      </w:pPr>
      <w:r>
        <w:rPr>
          <w:rFonts w:hint="eastAsia" w:ascii="仿宋_GB2312" w:hAnsi="宋体" w:eastAsia="仿宋_GB2312"/>
          <w:sz w:val="32"/>
          <w:szCs w:val="32"/>
        </w:rPr>
        <w:t>3.资格审查</w:t>
      </w:r>
    </w:p>
    <w:p>
      <w:pPr>
        <w:widowControl/>
        <w:spacing w:line="600" w:lineRule="exact"/>
        <w:ind w:firstLine="570"/>
        <w:rPr>
          <w:rFonts w:ascii="仿宋_GB2312" w:hAnsi="宋体" w:eastAsia="仿宋_GB2312" w:cs="仿宋"/>
          <w:color w:val="000000"/>
          <w:sz w:val="32"/>
          <w:szCs w:val="32"/>
          <w:shd w:val="clear" w:color="auto" w:fill="FFFFFF"/>
        </w:rPr>
      </w:pPr>
      <w:r>
        <w:rPr>
          <w:rFonts w:hint="eastAsia" w:ascii="仿宋_GB2312" w:hAnsi="宋体" w:eastAsia="仿宋_GB2312" w:cs="仿宋"/>
          <w:color w:val="000000"/>
          <w:sz w:val="32"/>
          <w:szCs w:val="32"/>
          <w:shd w:val="clear" w:color="auto" w:fill="FFFFFF"/>
        </w:rPr>
        <w:t xml:space="preserve">初审通过者，须携有关材料原件和复印件到校确认，学校根据现场审查结果确定参加笔试人员名单。 </w:t>
      </w:r>
    </w:p>
    <w:p>
      <w:pPr>
        <w:widowControl/>
        <w:spacing w:line="600" w:lineRule="exact"/>
        <w:ind w:firstLine="570"/>
        <w:rPr>
          <w:rFonts w:ascii="仿宋_GB2312" w:hAnsi="宋体" w:eastAsia="仿宋_GB2312" w:cs="仿宋"/>
          <w:color w:val="000000"/>
          <w:sz w:val="32"/>
          <w:szCs w:val="32"/>
          <w:shd w:val="clear" w:color="auto" w:fill="FFFFFF"/>
        </w:rPr>
      </w:pPr>
      <w:r>
        <w:rPr>
          <w:rFonts w:hint="eastAsia" w:ascii="仿宋_GB2312" w:hAnsi="宋体" w:eastAsia="仿宋_GB2312" w:cs="仿宋"/>
          <w:color w:val="000000"/>
          <w:sz w:val="32"/>
          <w:szCs w:val="32"/>
          <w:shd w:val="clear" w:color="auto" w:fill="FFFFFF"/>
        </w:rPr>
        <w:t>各用人单位将通过电话通知报名人员现场资格审查等有关事项。</w:t>
      </w:r>
    </w:p>
    <w:p>
      <w:pPr>
        <w:widowControl/>
        <w:spacing w:line="600" w:lineRule="exact"/>
        <w:ind w:left="560"/>
        <w:rPr>
          <w:rFonts w:ascii="仿宋_GB2312" w:hAnsi="宋体" w:eastAsia="仿宋_GB2312"/>
          <w:sz w:val="32"/>
          <w:szCs w:val="32"/>
        </w:rPr>
      </w:pPr>
      <w:r>
        <w:rPr>
          <w:rFonts w:hint="eastAsia" w:ascii="仿宋_GB2312" w:hAnsi="宋体" w:eastAsia="仿宋_GB2312"/>
          <w:sz w:val="32"/>
          <w:szCs w:val="32"/>
        </w:rPr>
        <w:t>4.考试</w:t>
      </w:r>
    </w:p>
    <w:p>
      <w:pPr>
        <w:widowControl/>
        <w:spacing w:line="600" w:lineRule="exact"/>
        <w:ind w:firstLine="560"/>
        <w:rPr>
          <w:rFonts w:ascii="仿宋_GB2312" w:hAnsi="宋体" w:eastAsia="仿宋_GB2312" w:cs="仿宋"/>
          <w:color w:val="2D2D2D"/>
          <w:sz w:val="32"/>
          <w:szCs w:val="32"/>
        </w:rPr>
      </w:pPr>
      <w:r>
        <w:rPr>
          <w:rFonts w:hint="eastAsia" w:ascii="仿宋_GB2312" w:hAnsi="宋体" w:eastAsia="仿宋_GB2312" w:cs="仿宋"/>
          <w:color w:val="2D2D2D"/>
          <w:sz w:val="32"/>
          <w:szCs w:val="32"/>
        </w:rPr>
        <w:t>考试包括笔试和面试（试讲、答辩和实际操作等）。</w:t>
      </w:r>
    </w:p>
    <w:p>
      <w:pPr>
        <w:widowControl/>
        <w:spacing w:line="600" w:lineRule="exact"/>
        <w:ind w:firstLine="560"/>
        <w:rPr>
          <w:rFonts w:ascii="仿宋_GB2312" w:hAnsi="宋体" w:eastAsia="仿宋_GB2312" w:cs="仿宋"/>
          <w:color w:val="2D2D2D"/>
          <w:sz w:val="32"/>
          <w:szCs w:val="32"/>
        </w:rPr>
      </w:pPr>
      <w:r>
        <w:rPr>
          <w:rFonts w:hint="eastAsia" w:ascii="仿宋_GB2312" w:hAnsi="宋体" w:eastAsia="仿宋_GB2312" w:cs="仿宋"/>
          <w:color w:val="2D2D2D"/>
          <w:sz w:val="32"/>
          <w:szCs w:val="32"/>
        </w:rPr>
        <w:t>（1）笔试。笔试满分100分，以闭卷方式进行，笔试成绩及排名在笔试结束后当天在学校网站公布。</w:t>
      </w:r>
    </w:p>
    <w:p>
      <w:pPr>
        <w:widowControl/>
        <w:spacing w:line="600" w:lineRule="exact"/>
        <w:ind w:firstLine="560"/>
        <w:rPr>
          <w:rFonts w:ascii="仿宋_GB2312" w:hAnsi="宋体" w:eastAsia="仿宋_GB2312" w:cs="仿宋"/>
          <w:color w:val="2D2D2D"/>
          <w:sz w:val="32"/>
          <w:szCs w:val="32"/>
        </w:rPr>
      </w:pPr>
      <w:r>
        <w:rPr>
          <w:rFonts w:hint="eastAsia" w:ascii="仿宋_GB2312" w:hAnsi="宋体" w:eastAsia="仿宋_GB2312" w:cs="仿宋"/>
          <w:color w:val="2D2D2D"/>
          <w:sz w:val="32"/>
          <w:szCs w:val="32"/>
        </w:rPr>
        <w:t>笔试时，招聘岗位人数与通过资格审查人数未达到1:3比例的，取消该岗位招聘；笔试结束后，若发现某岗位参加笔试人数不足3人，取消该岗位招聘，变动情况将及时在学校网站公布。</w:t>
      </w:r>
    </w:p>
    <w:p>
      <w:pPr>
        <w:widowControl/>
        <w:spacing w:line="600" w:lineRule="exact"/>
        <w:ind w:firstLine="560"/>
        <w:rPr>
          <w:rFonts w:ascii="仿宋_GB2312" w:hAnsi="宋体" w:eastAsia="仿宋_GB2312" w:cs="仿宋"/>
          <w:color w:val="2D2D2D"/>
          <w:sz w:val="32"/>
          <w:szCs w:val="32"/>
        </w:rPr>
      </w:pPr>
      <w:r>
        <w:rPr>
          <w:rFonts w:hint="eastAsia" w:ascii="仿宋_GB2312" w:hAnsi="宋体" w:eastAsia="仿宋_GB2312" w:cs="仿宋"/>
          <w:color w:val="2D2D2D"/>
          <w:sz w:val="32"/>
          <w:szCs w:val="32"/>
        </w:rPr>
        <w:t>（2）面试。面试满分100分。面试人选根据笔试成绩，按各岗位拟招聘人数职位1:3的比例从高分到低分确定。</w:t>
      </w:r>
    </w:p>
    <w:p>
      <w:pPr>
        <w:widowControl/>
        <w:spacing w:line="600" w:lineRule="exact"/>
        <w:ind w:firstLine="640" w:firstLineChars="200"/>
        <w:rPr>
          <w:rFonts w:ascii="仿宋_GB2312" w:hAnsi="宋体" w:eastAsia="仿宋_GB2312" w:cs="仿宋"/>
          <w:color w:val="2D2D2D"/>
          <w:sz w:val="32"/>
          <w:szCs w:val="32"/>
        </w:rPr>
      </w:pPr>
      <w:r>
        <w:rPr>
          <w:rFonts w:hint="eastAsia" w:ascii="仿宋_GB2312" w:hAnsi="宋体" w:eastAsia="仿宋_GB2312" w:cs="仿宋"/>
          <w:color w:val="2D2D2D"/>
          <w:sz w:val="32"/>
          <w:szCs w:val="32"/>
        </w:rPr>
        <w:t>面试环节将全程录像。面试结束后，现场公布面试成绩，并于当天在学校网站上公布成绩及排名。面试成绩低于60分者，将不予聘用。</w:t>
      </w:r>
    </w:p>
    <w:p>
      <w:pPr>
        <w:widowControl/>
        <w:spacing w:line="600" w:lineRule="exact"/>
        <w:ind w:firstLine="640" w:firstLineChars="200"/>
        <w:rPr>
          <w:rFonts w:ascii="仿宋_GB2312" w:hAnsi="宋体" w:eastAsia="仿宋_GB2312" w:cs="仿宋"/>
          <w:color w:val="2D2D2D"/>
          <w:sz w:val="32"/>
          <w:szCs w:val="32"/>
        </w:rPr>
      </w:pPr>
      <w:r>
        <w:rPr>
          <w:rFonts w:hint="eastAsia" w:ascii="仿宋_GB2312" w:hAnsi="宋体" w:eastAsia="仿宋_GB2312" w:cs="仿宋"/>
          <w:color w:val="2D2D2D"/>
          <w:sz w:val="32"/>
          <w:szCs w:val="32"/>
        </w:rPr>
        <w:t>面试当天若相关岗位只有1人到场，则取消该岗位招聘。若相关岗位有2人（含）以上到场，则面试继续进行，成绩有效，未到场人员的成绩视为零分。</w:t>
      </w:r>
    </w:p>
    <w:p>
      <w:pPr>
        <w:widowControl/>
        <w:spacing w:line="600" w:lineRule="exact"/>
        <w:ind w:firstLine="420"/>
        <w:rPr>
          <w:rFonts w:ascii="仿宋_GB2312" w:hAnsi="宋体" w:eastAsia="仿宋_GB2312" w:cs="仿宋"/>
          <w:color w:val="2D2D2D"/>
          <w:sz w:val="32"/>
          <w:szCs w:val="32"/>
        </w:rPr>
      </w:pPr>
      <w:r>
        <w:rPr>
          <w:rFonts w:hint="eastAsia" w:ascii="仿宋_GB2312" w:hAnsi="宋体" w:eastAsia="仿宋_GB2312" w:cs="仿宋"/>
          <w:color w:val="2D2D2D"/>
          <w:sz w:val="32"/>
          <w:szCs w:val="32"/>
        </w:rPr>
        <w:t>（3）</w:t>
      </w:r>
      <w:r>
        <w:rPr>
          <w:rFonts w:hint="eastAsia" w:ascii="仿宋_GB2312" w:hAnsi="宋体" w:eastAsia="仿宋_GB2312" w:cs="仿宋"/>
          <w:sz w:val="32"/>
          <w:szCs w:val="32"/>
        </w:rPr>
        <w:t>总成绩=笔试成绩（40%）+面试成绩（60%）。总成绩于当天在学校网站公布。所有应聘考生总成绩低于60分者不予聘用。</w:t>
      </w:r>
    </w:p>
    <w:p>
      <w:pPr>
        <w:widowControl/>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5.体检和考察</w:t>
      </w:r>
    </w:p>
    <w:p>
      <w:pPr>
        <w:widowControl/>
        <w:spacing w:line="600" w:lineRule="exact"/>
        <w:ind w:firstLine="640" w:firstLineChars="200"/>
        <w:rPr>
          <w:rFonts w:ascii="仿宋_GB2312" w:hAnsi="宋体" w:eastAsia="仿宋_GB2312" w:cs="仿宋"/>
          <w:color w:val="2D2D2D"/>
          <w:sz w:val="32"/>
          <w:szCs w:val="32"/>
        </w:rPr>
      </w:pPr>
      <w:r>
        <w:rPr>
          <w:rFonts w:hint="eastAsia" w:ascii="仿宋_GB2312" w:hAnsi="宋体" w:eastAsia="仿宋_GB2312" w:cs="仿宋"/>
          <w:color w:val="2D2D2D"/>
          <w:sz w:val="32"/>
          <w:szCs w:val="32"/>
        </w:rPr>
        <w:t>体检由学校统一组织实施，体检人员根据总成绩，按拟招聘岗位人数1:1比例从高分到低分确定，总成绩相同的，进行面试加试。体检和考察对象人员名单在学校网站公布。体检标准参照《河南省教师资格申请人员体格检查标准</w:t>
      </w:r>
      <w:r>
        <w:rPr>
          <w:rFonts w:hint="eastAsia" w:ascii="仿宋_GB2312" w:hAnsi="仿宋" w:eastAsia="仿宋_GB2312"/>
          <w:sz w:val="32"/>
          <w:szCs w:val="32"/>
        </w:rPr>
        <w:t>（2017年修订）</w:t>
      </w:r>
      <w:r>
        <w:rPr>
          <w:rFonts w:hint="eastAsia" w:ascii="仿宋_GB2312" w:hAnsi="宋体" w:eastAsia="仿宋_GB2312" w:cs="仿宋"/>
          <w:color w:val="2D2D2D"/>
          <w:sz w:val="32"/>
          <w:szCs w:val="32"/>
        </w:rPr>
        <w:t>》。如体检出现不合格者，可按应聘同一岗位人员从高分到低分的顺序依次递补。</w:t>
      </w:r>
    </w:p>
    <w:p>
      <w:pPr>
        <w:widowControl/>
        <w:spacing w:line="600" w:lineRule="exact"/>
        <w:ind w:firstLine="640" w:firstLineChars="200"/>
        <w:rPr>
          <w:rFonts w:ascii="仿宋_GB2312" w:hAnsi="宋体" w:eastAsia="仿宋_GB2312" w:cs="仿宋"/>
          <w:sz w:val="32"/>
          <w:szCs w:val="32"/>
        </w:rPr>
      </w:pPr>
      <w:r>
        <w:rPr>
          <w:rFonts w:hint="eastAsia" w:ascii="仿宋_GB2312" w:hAnsi="宋体" w:eastAsia="仿宋_GB2312" w:cs="仿宋"/>
          <w:color w:val="2D2D2D"/>
          <w:sz w:val="32"/>
          <w:szCs w:val="32"/>
        </w:rPr>
        <w:t>体检合格人员由我校对其思想政治表现、道德品质等进行考察。对有违纪违规记录以及其他不符合应聘条件的人员，经核实取消应聘资格。考察不合格不再递补。</w:t>
      </w:r>
    </w:p>
    <w:p>
      <w:pPr>
        <w:widowControl/>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6.各用人单位将考察对象材料及《河南大学拟聘实验教师考察表》提交到人事处审核备案。</w:t>
      </w:r>
    </w:p>
    <w:p>
      <w:pPr>
        <w:widowControl/>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7.提交学校研究，确定拟聘用人员名单并予以公示。</w:t>
      </w:r>
    </w:p>
    <w:p>
      <w:pPr>
        <w:widowControl/>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8.公示无异议后，办理相关聘用手续并签订《河南大学实验室岗位聘用合同》。</w:t>
      </w:r>
    </w:p>
    <w:p>
      <w:pPr>
        <w:pStyle w:val="16"/>
        <w:spacing w:before="0" w:after="0" w:afterAutospacing="0" w:line="600" w:lineRule="exact"/>
        <w:ind w:firstLine="643" w:firstLineChars="200"/>
        <w:jc w:val="both"/>
        <w:rPr>
          <w:rFonts w:ascii="仿宋_GB2312" w:eastAsia="仿宋_GB2312" w:cs="Arial"/>
          <w:b/>
          <w:sz w:val="32"/>
          <w:szCs w:val="32"/>
          <w:shd w:val="clear" w:color="auto" w:fill="FFFFFF"/>
        </w:rPr>
      </w:pPr>
      <w:r>
        <w:rPr>
          <w:rFonts w:hint="eastAsia" w:ascii="仿宋_GB2312" w:eastAsia="仿宋_GB2312" w:cs="Arial"/>
          <w:b/>
          <w:sz w:val="32"/>
          <w:szCs w:val="32"/>
          <w:shd w:val="clear" w:color="auto" w:fill="FFFFFF"/>
        </w:rPr>
        <w:t>四、聘后待遇</w:t>
      </w:r>
    </w:p>
    <w:p>
      <w:pPr>
        <w:pStyle w:val="16"/>
        <w:spacing w:before="0" w:after="0" w:afterAutospacing="0" w:line="600" w:lineRule="exact"/>
        <w:ind w:firstLine="640" w:firstLineChars="200"/>
        <w:jc w:val="both"/>
        <w:rPr>
          <w:rFonts w:ascii="仿宋_GB2312" w:eastAsia="仿宋_GB2312" w:cs="Arial"/>
          <w:sz w:val="32"/>
          <w:szCs w:val="32"/>
          <w:shd w:val="clear" w:color="auto" w:fill="FFFFFF"/>
        </w:rPr>
      </w:pPr>
      <w:r>
        <w:rPr>
          <w:rFonts w:hint="eastAsia" w:ascii="仿宋_GB2312" w:eastAsia="仿宋_GB2312" w:cs="Arial"/>
          <w:sz w:val="32"/>
          <w:szCs w:val="32"/>
          <w:shd w:val="clear" w:color="auto" w:fill="FFFFFF"/>
        </w:rPr>
        <w:t>聘后属实验系列，聘期内实行人事代理，享受学校规定的工资福利待遇。</w:t>
      </w:r>
    </w:p>
    <w:p>
      <w:pPr>
        <w:pStyle w:val="16"/>
        <w:spacing w:before="0" w:after="0" w:afterAutospacing="0" w:line="600" w:lineRule="exact"/>
        <w:ind w:firstLine="643" w:firstLineChars="200"/>
        <w:jc w:val="both"/>
        <w:rPr>
          <w:rFonts w:ascii="仿宋_GB2312" w:eastAsia="仿宋_GB2312" w:cs="Arial"/>
          <w:b/>
          <w:sz w:val="32"/>
          <w:szCs w:val="32"/>
          <w:shd w:val="clear" w:color="auto" w:fill="FFFFFF"/>
        </w:rPr>
      </w:pPr>
      <w:r>
        <w:rPr>
          <w:rFonts w:hint="eastAsia" w:ascii="仿宋_GB2312" w:eastAsia="仿宋_GB2312" w:cs="Arial"/>
          <w:b/>
          <w:sz w:val="32"/>
          <w:szCs w:val="32"/>
          <w:shd w:val="clear" w:color="auto" w:fill="FFFFFF"/>
        </w:rPr>
        <w:t>五、注意事项</w:t>
      </w:r>
    </w:p>
    <w:p>
      <w:pPr>
        <w:pStyle w:val="16"/>
        <w:spacing w:before="0" w:after="0" w:afterAutospacing="0" w:line="600" w:lineRule="exact"/>
        <w:ind w:firstLine="640" w:firstLineChars="200"/>
        <w:jc w:val="both"/>
        <w:rPr>
          <w:rFonts w:ascii="仿宋_GB2312" w:eastAsia="仿宋_GB2312" w:cs="Arial"/>
          <w:sz w:val="32"/>
          <w:szCs w:val="32"/>
          <w:shd w:val="clear" w:color="auto" w:fill="FFFFFF"/>
        </w:rPr>
      </w:pPr>
      <w:r>
        <w:rPr>
          <w:rFonts w:hint="eastAsia" w:ascii="仿宋_GB2312" w:eastAsia="仿宋_GB2312" w:cs="Arial"/>
          <w:sz w:val="32"/>
          <w:szCs w:val="32"/>
          <w:shd w:val="clear" w:color="auto" w:fill="FFFFFF"/>
        </w:rPr>
        <w:t>1.应聘人员所提交的各项应聘材料须真实、准确、有效，如有信息不符或弄虚作假的，一经查实取消应聘资格，已签聘用合同的视作无效。</w:t>
      </w:r>
    </w:p>
    <w:p>
      <w:pPr>
        <w:pStyle w:val="16"/>
        <w:spacing w:before="0" w:after="0" w:afterAutospacing="0" w:line="600" w:lineRule="exact"/>
        <w:ind w:firstLine="640" w:firstLineChars="200"/>
        <w:jc w:val="both"/>
        <w:rPr>
          <w:rFonts w:ascii="仿宋_GB2312" w:eastAsia="仿宋_GB2312" w:cs="Arial"/>
          <w:sz w:val="32"/>
          <w:szCs w:val="32"/>
          <w:shd w:val="clear" w:color="auto" w:fill="FFFFFF"/>
        </w:rPr>
      </w:pPr>
      <w:r>
        <w:rPr>
          <w:rFonts w:hint="eastAsia" w:ascii="仿宋_GB2312" w:eastAsia="仿宋_GB2312" w:cs="Arial"/>
          <w:sz w:val="32"/>
          <w:szCs w:val="32"/>
          <w:shd w:val="clear" w:color="auto" w:fill="FFFFFF"/>
        </w:rPr>
        <w:t>2.应聘人员应确保联系方式准确、畅通。因无法与应聘人员取得联系所造成的后果，由应聘人员自行负责。</w:t>
      </w:r>
    </w:p>
    <w:p>
      <w:pPr>
        <w:pStyle w:val="16"/>
        <w:spacing w:before="0" w:after="0" w:afterAutospacing="0" w:line="600" w:lineRule="exact"/>
        <w:ind w:firstLine="640" w:firstLineChars="200"/>
        <w:jc w:val="both"/>
        <w:rPr>
          <w:rFonts w:ascii="仿宋_GB2312" w:eastAsia="仿宋_GB2312" w:cs="Arial"/>
          <w:sz w:val="32"/>
          <w:szCs w:val="32"/>
          <w:shd w:val="clear" w:color="auto" w:fill="FFFFFF"/>
        </w:rPr>
      </w:pPr>
      <w:r>
        <w:rPr>
          <w:rFonts w:hint="eastAsia" w:ascii="仿宋_GB2312" w:eastAsia="仿宋_GB2312" w:cs="Arial"/>
          <w:sz w:val="32"/>
          <w:szCs w:val="32"/>
          <w:shd w:val="clear" w:color="auto" w:fill="FFFFFF"/>
        </w:rPr>
        <w:t>3.网络报名时，暂未能取得教育部学历学位认证书或学历学位证书者，应提供所在学校出具的毕业证明；资格审查时应提供以上证书。</w:t>
      </w:r>
    </w:p>
    <w:p>
      <w:pPr>
        <w:pStyle w:val="16"/>
        <w:spacing w:before="0" w:after="0" w:afterAutospacing="0" w:line="600" w:lineRule="exact"/>
        <w:ind w:firstLine="640" w:firstLineChars="200"/>
        <w:jc w:val="both"/>
        <w:rPr>
          <w:rFonts w:ascii="仿宋_GB2312" w:eastAsia="仿宋_GB2312" w:cs="Arial"/>
          <w:sz w:val="32"/>
          <w:szCs w:val="32"/>
          <w:shd w:val="clear" w:color="auto" w:fill="FFFFFF"/>
        </w:rPr>
      </w:pPr>
      <w:r>
        <w:rPr>
          <w:rFonts w:hint="eastAsia" w:ascii="仿宋_GB2312" w:eastAsia="仿宋_GB2312" w:cs="Arial"/>
          <w:sz w:val="32"/>
          <w:szCs w:val="32"/>
          <w:shd w:val="clear" w:color="auto" w:fill="FFFFFF"/>
        </w:rPr>
        <w:t>4.公示期满后30个工作日内未按规定提交齐备入职材料者，视为自动放弃，学校不再保留聘用资格。</w:t>
      </w:r>
    </w:p>
    <w:p>
      <w:pPr>
        <w:pStyle w:val="16"/>
        <w:spacing w:before="0" w:after="0" w:afterAutospacing="0" w:line="600" w:lineRule="exact"/>
        <w:ind w:firstLine="643" w:firstLineChars="200"/>
        <w:jc w:val="both"/>
        <w:rPr>
          <w:rFonts w:ascii="仿宋_GB2312" w:eastAsia="仿宋_GB2312" w:cs="Arial"/>
          <w:sz w:val="32"/>
          <w:szCs w:val="32"/>
          <w:shd w:val="clear" w:color="auto" w:fill="FFFFFF"/>
        </w:rPr>
      </w:pPr>
      <w:r>
        <w:rPr>
          <w:rFonts w:hint="eastAsia" w:ascii="仿宋_GB2312" w:eastAsia="仿宋_GB2312" w:cs="Arial"/>
          <w:b/>
          <w:sz w:val="32"/>
          <w:szCs w:val="32"/>
          <w:shd w:val="clear" w:color="auto" w:fill="FFFFFF"/>
        </w:rPr>
        <w:t>六、</w:t>
      </w:r>
      <w:r>
        <w:rPr>
          <w:rFonts w:hint="eastAsia" w:ascii="仿宋_GB2312" w:eastAsia="仿宋_GB2312" w:cs="Arial"/>
          <w:sz w:val="32"/>
          <w:szCs w:val="32"/>
          <w:shd w:val="clear" w:color="auto" w:fill="FFFFFF"/>
        </w:rPr>
        <w:t>咨询电话</w:t>
      </w:r>
    </w:p>
    <w:p>
      <w:pPr>
        <w:pStyle w:val="16"/>
        <w:spacing w:before="0" w:after="0" w:afterAutospacing="0" w:line="600" w:lineRule="exact"/>
        <w:ind w:firstLine="640" w:firstLineChars="200"/>
        <w:jc w:val="both"/>
        <w:rPr>
          <w:rFonts w:ascii="仿宋_GB2312" w:eastAsia="仿宋_GB2312" w:cs="Arial"/>
          <w:sz w:val="32"/>
          <w:szCs w:val="32"/>
          <w:shd w:val="clear" w:color="auto" w:fill="FFFFFF"/>
        </w:rPr>
      </w:pPr>
      <w:r>
        <w:rPr>
          <w:rFonts w:hint="eastAsia" w:ascii="仿宋_GB2312" w:eastAsia="仿宋_GB2312" w:cs="Arial"/>
          <w:sz w:val="32"/>
          <w:szCs w:val="32"/>
          <w:shd w:val="clear" w:color="auto" w:fill="FFFFFF"/>
        </w:rPr>
        <w:t>各招聘岗位所属单位联系方式详见附件2。</w:t>
      </w:r>
    </w:p>
    <w:p>
      <w:pPr>
        <w:pStyle w:val="16"/>
        <w:spacing w:before="0" w:after="0" w:afterAutospacing="0" w:line="600" w:lineRule="exact"/>
        <w:ind w:firstLine="643" w:firstLineChars="200"/>
        <w:jc w:val="both"/>
        <w:rPr>
          <w:rFonts w:ascii="仿宋_GB2312" w:eastAsia="仿宋_GB2312" w:cs="Arial"/>
          <w:sz w:val="32"/>
          <w:szCs w:val="32"/>
          <w:shd w:val="clear" w:color="auto" w:fill="FFFFFF"/>
        </w:rPr>
      </w:pPr>
      <w:r>
        <w:rPr>
          <w:rFonts w:hint="eastAsia" w:ascii="仿宋_GB2312" w:eastAsia="仿宋_GB2312" w:cs="Arial"/>
          <w:b/>
          <w:sz w:val="32"/>
          <w:szCs w:val="32"/>
          <w:shd w:val="clear" w:color="auto" w:fill="FFFFFF"/>
        </w:rPr>
        <w:t>七、</w:t>
      </w:r>
      <w:r>
        <w:rPr>
          <w:rFonts w:hint="eastAsia" w:ascii="仿宋_GB2312" w:eastAsia="仿宋_GB2312" w:cs="Arial"/>
          <w:sz w:val="32"/>
          <w:szCs w:val="32"/>
          <w:shd w:val="clear" w:color="auto" w:fill="FFFFFF"/>
        </w:rPr>
        <w:t>监督电话</w:t>
      </w:r>
    </w:p>
    <w:p>
      <w:pPr>
        <w:pStyle w:val="16"/>
        <w:spacing w:before="0" w:after="0" w:afterAutospacing="0" w:line="600" w:lineRule="exact"/>
        <w:ind w:firstLine="960" w:firstLineChars="300"/>
        <w:jc w:val="both"/>
        <w:rPr>
          <w:rFonts w:ascii="仿宋_GB2312" w:eastAsia="仿宋_GB2312" w:cs="Arial"/>
          <w:sz w:val="32"/>
          <w:szCs w:val="32"/>
          <w:shd w:val="clear" w:color="auto" w:fill="FFFFFF"/>
        </w:rPr>
      </w:pPr>
      <w:r>
        <w:rPr>
          <w:rFonts w:hint="eastAsia" w:ascii="仿宋_GB2312" w:eastAsia="仿宋_GB2312" w:cs="Arial"/>
          <w:sz w:val="32"/>
          <w:szCs w:val="32"/>
          <w:shd w:val="clear" w:color="auto" w:fill="FFFFFF"/>
        </w:rPr>
        <w:t xml:space="preserve">校纪委、监察处：0371-22866053     </w:t>
      </w:r>
    </w:p>
    <w:p>
      <w:pPr>
        <w:pStyle w:val="16"/>
        <w:spacing w:before="0" w:after="0" w:afterAutospacing="0" w:line="600" w:lineRule="exact"/>
        <w:ind w:firstLine="960" w:firstLineChars="300"/>
        <w:jc w:val="both"/>
        <w:rPr>
          <w:rFonts w:ascii="仿宋_GB2312" w:eastAsia="仿宋_GB2312" w:cs="Arial"/>
          <w:sz w:val="32"/>
          <w:szCs w:val="32"/>
          <w:shd w:val="clear" w:color="auto" w:fill="FFFFFF"/>
        </w:rPr>
      </w:pPr>
      <w:r>
        <w:rPr>
          <w:rFonts w:hint="eastAsia" w:ascii="仿宋_GB2312" w:eastAsia="仿宋_GB2312" w:cs="Arial"/>
          <w:sz w:val="32"/>
          <w:szCs w:val="32"/>
          <w:shd w:val="clear" w:color="auto" w:fill="FFFFFF"/>
        </w:rPr>
        <w:t>人事处：0371-22822703</w:t>
      </w:r>
    </w:p>
    <w:p>
      <w:pPr>
        <w:widowControl/>
        <w:spacing w:line="600" w:lineRule="exact"/>
        <w:ind w:firstLine="643" w:firstLineChars="200"/>
        <w:rPr>
          <w:rFonts w:ascii="仿宋_GB2312" w:hAnsi="宋体" w:eastAsia="仿宋_GB2312"/>
          <w:sz w:val="32"/>
          <w:szCs w:val="32"/>
        </w:rPr>
      </w:pPr>
      <w:r>
        <w:rPr>
          <w:rFonts w:hint="eastAsia" w:ascii="仿宋_GB2312" w:hAnsi="宋体" w:eastAsia="仿宋_GB2312"/>
          <w:b/>
          <w:sz w:val="32"/>
          <w:szCs w:val="32"/>
        </w:rPr>
        <w:t>附件1：</w:t>
      </w:r>
      <w:r>
        <w:rPr>
          <w:rFonts w:hint="eastAsia" w:ascii="仿宋_GB2312" w:hAnsi="宋体" w:eastAsia="仿宋_GB2312"/>
          <w:sz w:val="32"/>
          <w:szCs w:val="32"/>
        </w:rPr>
        <w:t>河南大学实验教师（硕士）招聘岗位职责及专业技能要求</w:t>
      </w:r>
    </w:p>
    <w:p>
      <w:pPr>
        <w:widowControl/>
        <w:spacing w:line="600" w:lineRule="exact"/>
        <w:ind w:firstLine="643" w:firstLineChars="200"/>
        <w:rPr>
          <w:rFonts w:ascii="仿宋_GB2312" w:eastAsia="仿宋_GB2312" w:cs="Arial"/>
          <w:sz w:val="32"/>
          <w:szCs w:val="32"/>
          <w:shd w:val="clear" w:color="auto" w:fill="FFFFFF"/>
        </w:rPr>
      </w:pPr>
      <w:r>
        <w:rPr>
          <w:rFonts w:hint="eastAsia" w:ascii="仿宋_GB2312" w:hAnsi="宋体" w:eastAsia="仿宋_GB2312"/>
          <w:b/>
          <w:sz w:val="32"/>
          <w:szCs w:val="32"/>
        </w:rPr>
        <w:t>附件2：</w:t>
      </w:r>
      <w:r>
        <w:rPr>
          <w:rFonts w:hint="eastAsia" w:ascii="仿宋_GB2312" w:eastAsia="仿宋_GB2312" w:cs="Arial"/>
          <w:sz w:val="32"/>
          <w:szCs w:val="32"/>
          <w:shd w:val="clear" w:color="auto" w:fill="FFFFFF"/>
        </w:rPr>
        <w:t>应聘报名联系方式</w:t>
      </w:r>
    </w:p>
    <w:p>
      <w:pPr>
        <w:widowControl/>
        <w:spacing w:line="600" w:lineRule="exact"/>
        <w:ind w:firstLine="643" w:firstLineChars="200"/>
        <w:rPr>
          <w:rFonts w:ascii="仿宋_GB2312" w:eastAsia="仿宋_GB2312" w:cs="Arial"/>
          <w:sz w:val="32"/>
          <w:szCs w:val="32"/>
          <w:shd w:val="clear" w:color="auto" w:fill="FFFFFF"/>
        </w:rPr>
      </w:pPr>
      <w:r>
        <w:rPr>
          <w:rFonts w:hint="eastAsia" w:ascii="仿宋_GB2312" w:eastAsia="仿宋_GB2312" w:cs="Arial"/>
          <w:b/>
          <w:sz w:val="32"/>
          <w:szCs w:val="32"/>
          <w:shd w:val="clear" w:color="auto" w:fill="FFFFFF"/>
        </w:rPr>
        <w:t>附件3：</w:t>
      </w:r>
      <w:r>
        <w:rPr>
          <w:rFonts w:hint="eastAsia" w:ascii="仿宋_GB2312" w:eastAsia="仿宋_GB2312" w:cs="Arial"/>
          <w:sz w:val="32"/>
          <w:szCs w:val="32"/>
          <w:shd w:val="clear" w:color="auto" w:fill="FFFFFF"/>
        </w:rPr>
        <w:t>报名材料清单及格式要求</w:t>
      </w:r>
    </w:p>
    <w:p>
      <w:pPr>
        <w:pStyle w:val="16"/>
        <w:spacing w:before="0" w:after="0" w:afterAutospacing="0" w:line="600" w:lineRule="exact"/>
        <w:ind w:firstLine="643" w:firstLineChars="200"/>
        <w:jc w:val="both"/>
        <w:rPr>
          <w:rFonts w:ascii="仿宋_GB2312" w:eastAsia="仿宋_GB2312"/>
          <w:sz w:val="32"/>
          <w:szCs w:val="32"/>
        </w:rPr>
      </w:pPr>
      <w:r>
        <w:rPr>
          <w:rFonts w:hint="eastAsia" w:ascii="仿宋_GB2312" w:eastAsia="仿宋_GB2312"/>
          <w:b/>
          <w:sz w:val="32"/>
          <w:szCs w:val="32"/>
        </w:rPr>
        <w:t>附件4：</w:t>
      </w:r>
      <w:r>
        <w:rPr>
          <w:rFonts w:hint="eastAsia" w:ascii="仿宋_GB2312" w:eastAsia="仿宋_GB2312"/>
          <w:sz w:val="32"/>
          <w:szCs w:val="32"/>
        </w:rPr>
        <w:t>河南大学实验教师（硕士）招聘报名登记表</w:t>
      </w:r>
    </w:p>
    <w:p>
      <w:pPr>
        <w:pStyle w:val="16"/>
        <w:spacing w:before="0" w:after="0" w:afterAutospacing="0" w:line="600" w:lineRule="exact"/>
        <w:ind w:right="640" w:firstLine="960" w:firstLineChars="300"/>
        <w:jc w:val="center"/>
        <w:rPr>
          <w:rFonts w:ascii="仿宋_GB2312" w:eastAsia="仿宋_GB2312" w:cs="Arial"/>
          <w:sz w:val="32"/>
          <w:szCs w:val="32"/>
          <w:shd w:val="clear" w:color="auto" w:fill="FFFFFF"/>
        </w:rPr>
      </w:pPr>
    </w:p>
    <w:p>
      <w:pPr>
        <w:pStyle w:val="16"/>
        <w:spacing w:before="0" w:after="0" w:afterAutospacing="0" w:line="600" w:lineRule="exact"/>
        <w:ind w:right="640" w:firstLine="960" w:firstLineChars="300"/>
        <w:jc w:val="center"/>
        <w:rPr>
          <w:rFonts w:ascii="仿宋_GB2312" w:eastAsia="仿宋_GB2312" w:cs="Arial"/>
          <w:sz w:val="32"/>
          <w:szCs w:val="32"/>
          <w:shd w:val="clear" w:color="auto" w:fill="FFFFFF"/>
        </w:rPr>
      </w:pPr>
      <w:r>
        <w:rPr>
          <w:rFonts w:hint="eastAsia" w:ascii="仿宋_GB2312" w:eastAsia="仿宋_GB2312" w:cs="Arial"/>
          <w:sz w:val="32"/>
          <w:szCs w:val="32"/>
          <w:shd w:val="clear" w:color="auto" w:fill="FFFFFF"/>
        </w:rPr>
        <w:t xml:space="preserve">                               河南大学</w:t>
      </w:r>
    </w:p>
    <w:p>
      <w:pPr>
        <w:pStyle w:val="16"/>
        <w:spacing w:before="0" w:after="0" w:afterAutospacing="0" w:line="600" w:lineRule="exact"/>
        <w:ind w:firstLine="960" w:firstLineChars="300"/>
        <w:jc w:val="right"/>
        <w:rPr>
          <w:rFonts w:ascii="仿宋_GB2312" w:eastAsia="仿宋_GB2312" w:cs="Arial"/>
          <w:sz w:val="32"/>
          <w:szCs w:val="32"/>
          <w:shd w:val="clear" w:color="auto" w:fill="FFFFFF"/>
        </w:rPr>
      </w:pPr>
      <w:r>
        <w:rPr>
          <w:rFonts w:hint="eastAsia" w:ascii="仿宋_GB2312" w:eastAsia="仿宋_GB2312" w:cs="Arial"/>
          <w:sz w:val="32"/>
          <w:szCs w:val="32"/>
          <w:shd w:val="clear" w:color="auto" w:fill="FFFFFF"/>
        </w:rPr>
        <w:t>2019年8月12日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990AC6"/>
    <w:multiLevelType w:val="singleLevel"/>
    <w:tmpl w:val="B9990AC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3A25CD"/>
    <w:rsid w:val="00006706"/>
    <w:rsid w:val="00007D7A"/>
    <w:rsid w:val="00025F62"/>
    <w:rsid w:val="000348E5"/>
    <w:rsid w:val="00042691"/>
    <w:rsid w:val="00047D71"/>
    <w:rsid w:val="00062406"/>
    <w:rsid w:val="00071411"/>
    <w:rsid w:val="00074C9F"/>
    <w:rsid w:val="0007579A"/>
    <w:rsid w:val="00087073"/>
    <w:rsid w:val="000B41DC"/>
    <w:rsid w:val="000C4C95"/>
    <w:rsid w:val="000F15D8"/>
    <w:rsid w:val="00102204"/>
    <w:rsid w:val="00110753"/>
    <w:rsid w:val="00122E1A"/>
    <w:rsid w:val="00145C7A"/>
    <w:rsid w:val="001638D4"/>
    <w:rsid w:val="00172C6E"/>
    <w:rsid w:val="00195700"/>
    <w:rsid w:val="001A09B2"/>
    <w:rsid w:val="001A63F0"/>
    <w:rsid w:val="001C6336"/>
    <w:rsid w:val="001C6AFC"/>
    <w:rsid w:val="002068F3"/>
    <w:rsid w:val="00210F6A"/>
    <w:rsid w:val="002638C0"/>
    <w:rsid w:val="002A44CC"/>
    <w:rsid w:val="002D07A5"/>
    <w:rsid w:val="002D136A"/>
    <w:rsid w:val="002E2492"/>
    <w:rsid w:val="00325D5E"/>
    <w:rsid w:val="00336B04"/>
    <w:rsid w:val="00347ED7"/>
    <w:rsid w:val="00347F83"/>
    <w:rsid w:val="00350E62"/>
    <w:rsid w:val="003564A6"/>
    <w:rsid w:val="00380E63"/>
    <w:rsid w:val="00393E29"/>
    <w:rsid w:val="003A25CD"/>
    <w:rsid w:val="003C469E"/>
    <w:rsid w:val="003E0663"/>
    <w:rsid w:val="003E4634"/>
    <w:rsid w:val="003F7D2A"/>
    <w:rsid w:val="00401817"/>
    <w:rsid w:val="00416731"/>
    <w:rsid w:val="00433088"/>
    <w:rsid w:val="00462E70"/>
    <w:rsid w:val="0047351D"/>
    <w:rsid w:val="00477F3D"/>
    <w:rsid w:val="00481221"/>
    <w:rsid w:val="00486495"/>
    <w:rsid w:val="00490C3E"/>
    <w:rsid w:val="004960AB"/>
    <w:rsid w:val="004E65B4"/>
    <w:rsid w:val="004E7DA4"/>
    <w:rsid w:val="005056A6"/>
    <w:rsid w:val="005108EA"/>
    <w:rsid w:val="00514CA4"/>
    <w:rsid w:val="00515927"/>
    <w:rsid w:val="00536627"/>
    <w:rsid w:val="005446DA"/>
    <w:rsid w:val="0055056C"/>
    <w:rsid w:val="00550C6F"/>
    <w:rsid w:val="0055579B"/>
    <w:rsid w:val="00555FCF"/>
    <w:rsid w:val="0058542A"/>
    <w:rsid w:val="00591CBD"/>
    <w:rsid w:val="00592477"/>
    <w:rsid w:val="005A1091"/>
    <w:rsid w:val="005A1167"/>
    <w:rsid w:val="005D70A6"/>
    <w:rsid w:val="005D7B9D"/>
    <w:rsid w:val="00601031"/>
    <w:rsid w:val="006059A4"/>
    <w:rsid w:val="0061128A"/>
    <w:rsid w:val="006113D7"/>
    <w:rsid w:val="006238CE"/>
    <w:rsid w:val="006346E2"/>
    <w:rsid w:val="0063668A"/>
    <w:rsid w:val="00646AF4"/>
    <w:rsid w:val="006719FB"/>
    <w:rsid w:val="00673DDB"/>
    <w:rsid w:val="0068033B"/>
    <w:rsid w:val="006841B1"/>
    <w:rsid w:val="00695712"/>
    <w:rsid w:val="00697B6C"/>
    <w:rsid w:val="006B7745"/>
    <w:rsid w:val="006C7AB4"/>
    <w:rsid w:val="006E5675"/>
    <w:rsid w:val="006F1ACE"/>
    <w:rsid w:val="00701F96"/>
    <w:rsid w:val="007074B3"/>
    <w:rsid w:val="0073143D"/>
    <w:rsid w:val="00732204"/>
    <w:rsid w:val="0074132E"/>
    <w:rsid w:val="0079507D"/>
    <w:rsid w:val="007958D0"/>
    <w:rsid w:val="00795F34"/>
    <w:rsid w:val="007974AF"/>
    <w:rsid w:val="007B06DB"/>
    <w:rsid w:val="007B1198"/>
    <w:rsid w:val="007B29A4"/>
    <w:rsid w:val="007B3BA1"/>
    <w:rsid w:val="007C6CEB"/>
    <w:rsid w:val="007E0DF1"/>
    <w:rsid w:val="007E2B04"/>
    <w:rsid w:val="007F24C6"/>
    <w:rsid w:val="00822B72"/>
    <w:rsid w:val="00826C4D"/>
    <w:rsid w:val="00827707"/>
    <w:rsid w:val="008344C1"/>
    <w:rsid w:val="0086319C"/>
    <w:rsid w:val="008635FF"/>
    <w:rsid w:val="00865312"/>
    <w:rsid w:val="00865992"/>
    <w:rsid w:val="0086739E"/>
    <w:rsid w:val="00883038"/>
    <w:rsid w:val="008900E1"/>
    <w:rsid w:val="0089089A"/>
    <w:rsid w:val="008A2A6D"/>
    <w:rsid w:val="008A67FB"/>
    <w:rsid w:val="008A7C38"/>
    <w:rsid w:val="008B0FE6"/>
    <w:rsid w:val="008B42EA"/>
    <w:rsid w:val="008B70E2"/>
    <w:rsid w:val="008C3025"/>
    <w:rsid w:val="008D23EB"/>
    <w:rsid w:val="008E5A66"/>
    <w:rsid w:val="008F05B4"/>
    <w:rsid w:val="008F6BCB"/>
    <w:rsid w:val="0090545D"/>
    <w:rsid w:val="00924517"/>
    <w:rsid w:val="00932949"/>
    <w:rsid w:val="009721F8"/>
    <w:rsid w:val="00977F45"/>
    <w:rsid w:val="00992B52"/>
    <w:rsid w:val="009A0585"/>
    <w:rsid w:val="009B3682"/>
    <w:rsid w:val="009B6672"/>
    <w:rsid w:val="009B6A95"/>
    <w:rsid w:val="009D5AE3"/>
    <w:rsid w:val="009E41F3"/>
    <w:rsid w:val="009E5A97"/>
    <w:rsid w:val="009F1256"/>
    <w:rsid w:val="00A01661"/>
    <w:rsid w:val="00A17D8C"/>
    <w:rsid w:val="00A215ED"/>
    <w:rsid w:val="00A30C62"/>
    <w:rsid w:val="00A331B4"/>
    <w:rsid w:val="00A5045A"/>
    <w:rsid w:val="00A65B20"/>
    <w:rsid w:val="00A80001"/>
    <w:rsid w:val="00A92292"/>
    <w:rsid w:val="00AB1887"/>
    <w:rsid w:val="00AB3C5B"/>
    <w:rsid w:val="00AB5003"/>
    <w:rsid w:val="00AC6C09"/>
    <w:rsid w:val="00AD6F3A"/>
    <w:rsid w:val="00AD71E6"/>
    <w:rsid w:val="00AF3E17"/>
    <w:rsid w:val="00B01053"/>
    <w:rsid w:val="00B10F0B"/>
    <w:rsid w:val="00B122BF"/>
    <w:rsid w:val="00B12FB7"/>
    <w:rsid w:val="00B300AE"/>
    <w:rsid w:val="00B445AA"/>
    <w:rsid w:val="00B476D7"/>
    <w:rsid w:val="00B5752F"/>
    <w:rsid w:val="00B5792C"/>
    <w:rsid w:val="00B65692"/>
    <w:rsid w:val="00B67846"/>
    <w:rsid w:val="00B93E0B"/>
    <w:rsid w:val="00B97643"/>
    <w:rsid w:val="00BB7359"/>
    <w:rsid w:val="00BC6B5A"/>
    <w:rsid w:val="00BC7CC8"/>
    <w:rsid w:val="00BD56AE"/>
    <w:rsid w:val="00BE7AD4"/>
    <w:rsid w:val="00BF1069"/>
    <w:rsid w:val="00BF705D"/>
    <w:rsid w:val="00C02D9F"/>
    <w:rsid w:val="00C1479D"/>
    <w:rsid w:val="00C260CF"/>
    <w:rsid w:val="00C32503"/>
    <w:rsid w:val="00C45CB5"/>
    <w:rsid w:val="00C543C3"/>
    <w:rsid w:val="00C55936"/>
    <w:rsid w:val="00C64D9E"/>
    <w:rsid w:val="00CB660D"/>
    <w:rsid w:val="00CC71AB"/>
    <w:rsid w:val="00CD66A6"/>
    <w:rsid w:val="00CE70D0"/>
    <w:rsid w:val="00D01BCE"/>
    <w:rsid w:val="00D079DB"/>
    <w:rsid w:val="00D147FA"/>
    <w:rsid w:val="00D15AD2"/>
    <w:rsid w:val="00D17087"/>
    <w:rsid w:val="00D200AC"/>
    <w:rsid w:val="00D25A6A"/>
    <w:rsid w:val="00D44D16"/>
    <w:rsid w:val="00D53F0A"/>
    <w:rsid w:val="00D87D1A"/>
    <w:rsid w:val="00DA16B2"/>
    <w:rsid w:val="00DC0AFE"/>
    <w:rsid w:val="00DC42BC"/>
    <w:rsid w:val="00DD0DFA"/>
    <w:rsid w:val="00DD3299"/>
    <w:rsid w:val="00DD60F7"/>
    <w:rsid w:val="00DE3B83"/>
    <w:rsid w:val="00E006F7"/>
    <w:rsid w:val="00E1327A"/>
    <w:rsid w:val="00E37EAD"/>
    <w:rsid w:val="00E557A0"/>
    <w:rsid w:val="00E55BD5"/>
    <w:rsid w:val="00E73D7C"/>
    <w:rsid w:val="00E7788C"/>
    <w:rsid w:val="00E87616"/>
    <w:rsid w:val="00E921D9"/>
    <w:rsid w:val="00E92681"/>
    <w:rsid w:val="00EB54AD"/>
    <w:rsid w:val="00EC2FE6"/>
    <w:rsid w:val="00EC3FE4"/>
    <w:rsid w:val="00EF04B4"/>
    <w:rsid w:val="00EF49C9"/>
    <w:rsid w:val="00EF78CC"/>
    <w:rsid w:val="00F0601E"/>
    <w:rsid w:val="00F1284B"/>
    <w:rsid w:val="00F3548F"/>
    <w:rsid w:val="00F37E3C"/>
    <w:rsid w:val="00F40F92"/>
    <w:rsid w:val="00F44008"/>
    <w:rsid w:val="00F50091"/>
    <w:rsid w:val="00F62AD4"/>
    <w:rsid w:val="00F66629"/>
    <w:rsid w:val="00F77A54"/>
    <w:rsid w:val="00F82783"/>
    <w:rsid w:val="00F91758"/>
    <w:rsid w:val="00FA3542"/>
    <w:rsid w:val="00FA4A8D"/>
    <w:rsid w:val="00FB087F"/>
    <w:rsid w:val="00FB14DA"/>
    <w:rsid w:val="00FB74D9"/>
    <w:rsid w:val="00FC2C5B"/>
    <w:rsid w:val="00FC37FC"/>
    <w:rsid w:val="00FC4B0E"/>
    <w:rsid w:val="00FD056D"/>
    <w:rsid w:val="00FF35A4"/>
    <w:rsid w:val="04E34367"/>
    <w:rsid w:val="1894496E"/>
    <w:rsid w:val="1A147912"/>
    <w:rsid w:val="1C7868B4"/>
    <w:rsid w:val="1E2D02E1"/>
    <w:rsid w:val="261817FC"/>
    <w:rsid w:val="294647DA"/>
    <w:rsid w:val="39C16967"/>
    <w:rsid w:val="3C1E76C5"/>
    <w:rsid w:val="40816583"/>
    <w:rsid w:val="4664179E"/>
    <w:rsid w:val="4ED679BA"/>
    <w:rsid w:val="58685333"/>
    <w:rsid w:val="5A34302E"/>
    <w:rsid w:val="69E41FC6"/>
    <w:rsid w:val="728F2738"/>
    <w:rsid w:val="759C61A7"/>
    <w:rsid w:val="7C940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semiHidden="0" w:name="HTML Acronym"/>
    <w:lsdException w:uiPriority="99" w:name="HTML Address"/>
    <w:lsdException w:uiPriority="99" w:name="HTML Cite"/>
    <w:lsdException w:uiPriority="99" w:semiHidden="0" w:name="HTML Code"/>
    <w:lsdException w:uiPriority="99" w:semiHidden="0"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jc w:val="left"/>
      <w:textAlignment w:val="baseline"/>
    </w:pPr>
    <w:rPr>
      <w:kern w:val="0"/>
      <w:sz w:val="24"/>
    </w:rPr>
  </w:style>
  <w:style w:type="character" w:styleId="8">
    <w:name w:val="FollowedHyperlink"/>
    <w:basedOn w:val="7"/>
    <w:unhideWhenUsed/>
    <w:qFormat/>
    <w:uiPriority w:val="99"/>
    <w:rPr>
      <w:color w:val="333333"/>
      <w:u w:val="none"/>
      <w:vertAlign w:val="baseline"/>
    </w:rPr>
  </w:style>
  <w:style w:type="character" w:styleId="9">
    <w:name w:val="Emphasis"/>
    <w:basedOn w:val="7"/>
    <w:qFormat/>
    <w:uiPriority w:val="20"/>
    <w:rPr>
      <w:i/>
      <w:vertAlign w:val="baseline"/>
    </w:rPr>
  </w:style>
  <w:style w:type="character" w:styleId="10">
    <w:name w:val="HTML Definition"/>
    <w:basedOn w:val="7"/>
    <w:unhideWhenUsed/>
    <w:uiPriority w:val="99"/>
    <w:rPr>
      <w:i/>
      <w:vertAlign w:val="baseline"/>
    </w:rPr>
  </w:style>
  <w:style w:type="character" w:styleId="11">
    <w:name w:val="HTML Acronym"/>
    <w:basedOn w:val="7"/>
    <w:unhideWhenUsed/>
    <w:uiPriority w:val="99"/>
    <w:rPr>
      <w:vertAlign w:val="baseline"/>
    </w:rPr>
  </w:style>
  <w:style w:type="character" w:styleId="12">
    <w:name w:val="Hyperlink"/>
    <w:basedOn w:val="7"/>
    <w:unhideWhenUsed/>
    <w:qFormat/>
    <w:uiPriority w:val="99"/>
    <w:rPr>
      <w:color w:val="333333"/>
      <w:u w:val="none"/>
      <w:vertAlign w:val="baseline"/>
    </w:rPr>
  </w:style>
  <w:style w:type="character" w:styleId="13">
    <w:name w:val="HTML Code"/>
    <w:basedOn w:val="7"/>
    <w:unhideWhenUsed/>
    <w:uiPriority w:val="99"/>
    <w:rPr>
      <w:rFonts w:ascii="Courier New" w:hAnsi="Courier New"/>
      <w:sz w:val="20"/>
      <w:vertAlign w:val="baseline"/>
    </w:rPr>
  </w:style>
  <w:style w:type="character" w:customStyle="1" w:styleId="14">
    <w:name w:val="页脚 Char"/>
    <w:basedOn w:val="7"/>
    <w:link w:val="3"/>
    <w:semiHidden/>
    <w:qFormat/>
    <w:uiPriority w:val="99"/>
    <w:rPr>
      <w:rFonts w:ascii="Calibri" w:hAnsi="Calibri" w:eastAsia="宋体" w:cs="Times New Roman"/>
      <w:sz w:val="18"/>
      <w:szCs w:val="18"/>
    </w:rPr>
  </w:style>
  <w:style w:type="character" w:customStyle="1" w:styleId="15">
    <w:name w:val="页眉 Char"/>
    <w:basedOn w:val="7"/>
    <w:link w:val="4"/>
    <w:semiHidden/>
    <w:qFormat/>
    <w:uiPriority w:val="99"/>
    <w:rPr>
      <w:rFonts w:ascii="Calibri" w:hAnsi="Calibri" w:eastAsia="宋体" w:cs="Times New Roman"/>
      <w:sz w:val="18"/>
      <w:szCs w:val="18"/>
    </w:rPr>
  </w:style>
  <w:style w:type="paragraph" w:customStyle="1" w:styleId="16">
    <w:name w:val="text-in"/>
    <w:basedOn w:val="1"/>
    <w:qFormat/>
    <w:uiPriority w:val="0"/>
    <w:pPr>
      <w:widowControl/>
      <w:spacing w:before="200" w:after="100" w:afterAutospacing="1"/>
      <w:jc w:val="left"/>
    </w:pPr>
    <w:rPr>
      <w:rFonts w:ascii="宋体" w:hAnsi="宋体" w:cs="宋体"/>
      <w:kern w:val="0"/>
      <w:sz w:val="24"/>
      <w:szCs w:val="24"/>
    </w:rPr>
  </w:style>
  <w:style w:type="paragraph" w:customStyle="1" w:styleId="17">
    <w:name w:val="列出段落1"/>
    <w:basedOn w:val="1"/>
    <w:qFormat/>
    <w:uiPriority w:val="0"/>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20316;\&#23454;&#39564;&#25216;&#26415;&#20154;&#21592;&#25307;&#32856;\2018\&#25307;&#32856;&#20844;&#21578;&#21450;&#38468;&#20214;\&#27827;&#21335;&#22823;&#23398;2018&#24180;&#23454;&#39564;&#25945;&#24072;&#25307;&#32856;&#20844;&#2157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B0E859-E241-48CD-A8AE-874FAA874113}">
  <ds:schemaRefs/>
</ds:datastoreItem>
</file>

<file path=docProps/app.xml><?xml version="1.0" encoding="utf-8"?>
<Properties xmlns="http://schemas.openxmlformats.org/officeDocument/2006/extended-properties" xmlns:vt="http://schemas.openxmlformats.org/officeDocument/2006/docPropsVTypes">
  <Template>河南大学2018年实验教师招聘公告</Template>
  <Company>henu</Company>
  <Pages>1</Pages>
  <Words>357</Words>
  <Characters>2041</Characters>
  <Lines>17</Lines>
  <Paragraphs>4</Paragraphs>
  <TotalTime>578</TotalTime>
  <ScaleCrop>false</ScaleCrop>
  <LinksUpToDate>false</LinksUpToDate>
  <CharactersWithSpaces>2394</CharactersWithSpaces>
  <Application>WPS Office_11.3.0.8742_F1E327BC-269C-435d-A152-05C5408002CA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2018-06-19T08:31:00Z</dcterms:created>
  <dc:creator>Administrator</dc:creator>
  <cp:lastModifiedBy>行者</cp:lastModifiedBy>
  <cp:lastPrinted>2019-08-12T09:52:12Z</cp:lastPrinted>
  <dcterms:modified xsi:type="dcterms:W3CDTF">2019-08-12T09:58:41Z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2052-11.3.0.8742</vt:lpwstr>
  </property>
</Properties>
</file>